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7FB39">
      <w:pPr>
        <w:pStyle w:val="3"/>
        <w:pageBreakBefore w:val="0"/>
        <w:kinsoku/>
        <w:wordWrap w:val="0"/>
        <w:overflowPunct/>
        <w:topLinePunct w:val="0"/>
        <w:bidi w:val="0"/>
        <w:adjustRightInd/>
        <w:spacing w:before="20" w:after="20" w:line="500" w:lineRule="exact"/>
        <w:textAlignment w:val="auto"/>
        <w:rPr>
          <w:rFonts w:hint="default"/>
          <w:color w:val="auto"/>
          <w:sz w:val="30"/>
          <w:szCs w:val="30"/>
          <w:highlight w:val="none"/>
          <w:lang w:val="en-US" w:eastAsia="zh-CN"/>
        </w:rPr>
      </w:pPr>
      <w:bookmarkStart w:id="0" w:name="_Toc24574"/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荣昌区中医院定制式活动义齿等口腔耗材一批采购项目（第二次）  询价采购</w:t>
      </w:r>
      <w:bookmarkEnd w:id="0"/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公告</w:t>
      </w:r>
    </w:p>
    <w:p w14:paraId="7DEA38F7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重庆优佳工程招标代理有限公司（以下简称：采购代理机构）接受</w:t>
      </w:r>
      <w:r>
        <w:rPr>
          <w:rFonts w:hint="eastAsia" w:ascii="宋体" w:hAnsi="宋体" w:cs="宋体"/>
          <w:color w:val="auto"/>
          <w:szCs w:val="24"/>
          <w:highlight w:val="none"/>
          <w:lang w:eastAsia="zh-CN"/>
        </w:rPr>
        <w:t>重庆市荣昌区中医院</w:t>
      </w:r>
      <w:r>
        <w:rPr>
          <w:rFonts w:hint="eastAsia" w:ascii="宋体" w:hAnsi="宋体" w:cs="宋体"/>
          <w:color w:val="auto"/>
          <w:szCs w:val="24"/>
          <w:highlight w:val="none"/>
        </w:rPr>
        <w:t>（以下简称：采购人）的委托，对</w:t>
      </w:r>
      <w:r>
        <w:rPr>
          <w:rFonts w:hint="eastAsia" w:ascii="宋体" w:hAnsi="宋体" w:cs="宋体"/>
          <w:color w:val="auto"/>
          <w:szCs w:val="24"/>
          <w:highlight w:val="none"/>
          <w:lang w:eastAsia="zh-CN"/>
        </w:rPr>
        <w:t>荣昌区中医院定制式活动义齿等口腔耗材一批采购项目（第二次）</w:t>
      </w:r>
      <w:r>
        <w:rPr>
          <w:rFonts w:hint="eastAsia" w:ascii="宋体" w:hAnsi="宋体" w:cs="宋体"/>
          <w:color w:val="auto"/>
          <w:szCs w:val="24"/>
          <w:highlight w:val="none"/>
        </w:rPr>
        <w:t>进行询价采购。欢迎有资格的供应商前来参加报价。</w:t>
      </w:r>
    </w:p>
    <w:p w14:paraId="52AA3FC7">
      <w:pPr>
        <w:pStyle w:val="4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before="0" w:after="0" w:line="410" w:lineRule="exac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bookmarkStart w:id="1" w:name="_Toc317775175"/>
      <w:bookmarkStart w:id="2" w:name="_Toc313893526"/>
      <w:bookmarkStart w:id="3" w:name="_Toc21725"/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一、询价内容</w:t>
      </w:r>
      <w:bookmarkEnd w:id="1"/>
      <w:bookmarkEnd w:id="2"/>
      <w:bookmarkEnd w:id="3"/>
    </w:p>
    <w:tbl>
      <w:tblPr>
        <w:tblStyle w:val="8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8"/>
        <w:gridCol w:w="1780"/>
        <w:gridCol w:w="1907"/>
      </w:tblGrid>
      <w:tr w14:paraId="4144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D27C2"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包号及名称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76A63"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保证金（元）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EF4A5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成交供应商（名）</w:t>
            </w:r>
          </w:p>
        </w:tc>
      </w:tr>
      <w:tr w14:paraId="7F80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68D90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firstLine="480" w:firstLineChars="200"/>
              <w:textAlignment w:val="auto"/>
              <w:rPr>
                <w:rFonts w:hint="default" w:ascii="宋体" w:hAnsi="宋体" w:eastAsia="宋体" w:cs="宋体"/>
                <w:color w:val="auto"/>
                <w:szCs w:val="24"/>
                <w:highlight w:val="none"/>
                <w:lang w:val="en-US" w:eastAsia="zh-CN"/>
              </w:rPr>
            </w:pPr>
            <w:bookmarkStart w:id="4" w:name="_Hlk344477914"/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  <w:lang w:eastAsia="zh-CN"/>
              </w:rPr>
              <w:t>荣昌区中医院定制式活动义齿等口腔耗材一批采购项目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  <w:lang w:eastAsia="zh-CN"/>
              </w:rPr>
              <w:t>（第二次）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C21C3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firstLine="480" w:firstLineChars="200"/>
              <w:textAlignment w:val="auto"/>
              <w:rPr>
                <w:rFonts w:hint="default" w:ascii="宋体" w:hAnsi="宋体" w:eastAsia="宋体" w:cs="宋体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  <w:lang w:val="en-US" w:eastAsia="zh-CN"/>
              </w:rPr>
              <w:t>7000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B32E9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  <w:lang w:eastAsia="zh-CN"/>
              </w:rPr>
              <w:t>1</w:t>
            </w:r>
          </w:p>
        </w:tc>
      </w:tr>
      <w:bookmarkEnd w:id="4"/>
    </w:tbl>
    <w:p w14:paraId="4CCA2BC6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Cs w:val="24"/>
          <w:highlight w:val="none"/>
          <w:lang w:val="en-US" w:eastAsia="zh-CN"/>
        </w:rPr>
      </w:pPr>
      <w:bookmarkStart w:id="5" w:name="_Toc373860293"/>
      <w:bookmarkStart w:id="6" w:name="_Toc317775178"/>
      <w:r>
        <w:rPr>
          <w:rFonts w:hint="eastAsia" w:ascii="宋体" w:hAnsi="宋体" w:eastAsia="宋体" w:cs="宋体"/>
          <w:color w:val="auto"/>
          <w:szCs w:val="24"/>
          <w:highlight w:val="none"/>
          <w:lang w:eastAsia="zh-CN"/>
        </w:rPr>
        <w:t>注：</w:t>
      </w:r>
      <w:r>
        <w:rPr>
          <w:rFonts w:hint="eastAsia" w:ascii="宋体" w:hAnsi="宋体" w:eastAsia="宋体" w:cs="宋体"/>
          <w:color w:val="auto"/>
          <w:szCs w:val="24"/>
          <w:highlight w:val="none"/>
          <w:lang w:val="en-US" w:eastAsia="zh-CN"/>
        </w:rPr>
        <w:t>本次采购只对耗材的单价进行采购。成交供应商按采购人的需求及时供货。</w:t>
      </w:r>
    </w:p>
    <w:p w14:paraId="7F37BBEA">
      <w:pPr>
        <w:pStyle w:val="4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before="0" w:after="0" w:line="410" w:lineRule="exac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bookmarkStart w:id="7" w:name="_Toc31307"/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二、资金来源</w:t>
      </w:r>
      <w:bookmarkEnd w:id="7"/>
    </w:p>
    <w:p w14:paraId="59A94A9F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自筹资金</w:t>
      </w:r>
    </w:p>
    <w:p w14:paraId="6A167237">
      <w:pPr>
        <w:pStyle w:val="4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before="0" w:after="0" w:line="410" w:lineRule="exac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bookmarkStart w:id="8" w:name="_Toc1681"/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三、询价资格</w:t>
      </w:r>
      <w:bookmarkEnd w:id="8"/>
    </w:p>
    <w:bookmarkEnd w:id="5"/>
    <w:p w14:paraId="0A69E1E5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（一）基本资格条件</w:t>
      </w:r>
    </w:p>
    <w:p w14:paraId="478AFC65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1</w:t>
      </w:r>
      <w:r>
        <w:rPr>
          <w:rFonts w:hint="eastAsia" w:ascii="宋体" w:hAnsi="宋体" w:cs="宋体"/>
          <w:color w:val="auto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Cs w:val="24"/>
          <w:highlight w:val="none"/>
        </w:rPr>
        <w:t>具有独立承担民事责任的能力；</w:t>
      </w:r>
    </w:p>
    <w:p w14:paraId="31722F79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2</w:t>
      </w:r>
      <w:r>
        <w:rPr>
          <w:rFonts w:hint="eastAsia" w:ascii="宋体" w:hAnsi="宋体" w:cs="宋体"/>
          <w:color w:val="auto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Cs w:val="24"/>
          <w:highlight w:val="none"/>
        </w:rPr>
        <w:t>具有良好的商业信誉和健全的财务会计制度；</w:t>
      </w:r>
    </w:p>
    <w:p w14:paraId="4003C20F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3</w:t>
      </w:r>
      <w:r>
        <w:rPr>
          <w:rFonts w:hint="eastAsia" w:ascii="宋体" w:hAnsi="宋体" w:cs="宋体"/>
          <w:color w:val="auto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Cs w:val="24"/>
          <w:highlight w:val="none"/>
        </w:rPr>
        <w:t>具有履行合同所必需的设备和专业技术能力；</w:t>
      </w:r>
    </w:p>
    <w:p w14:paraId="0DCE7D98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4</w:t>
      </w:r>
      <w:r>
        <w:rPr>
          <w:rFonts w:hint="eastAsia" w:ascii="宋体" w:hAnsi="宋体" w:cs="宋体"/>
          <w:color w:val="auto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Cs w:val="24"/>
          <w:highlight w:val="none"/>
        </w:rPr>
        <w:t>有依法缴纳税收和社会保障资金的良好记录；</w:t>
      </w:r>
    </w:p>
    <w:p w14:paraId="27B138B3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5</w:t>
      </w:r>
      <w:r>
        <w:rPr>
          <w:rFonts w:hint="eastAsia" w:ascii="宋体" w:hAnsi="宋体" w:cs="宋体"/>
          <w:color w:val="auto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Cs w:val="24"/>
          <w:highlight w:val="none"/>
        </w:rPr>
        <w:t>参加政府采购活动前三年内，在经营活动中没有重大违法记录；</w:t>
      </w:r>
    </w:p>
    <w:p w14:paraId="78E1DAFB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6</w:t>
      </w:r>
      <w:r>
        <w:rPr>
          <w:rFonts w:hint="eastAsia" w:ascii="宋体" w:hAnsi="宋体" w:cs="宋体"/>
          <w:color w:val="auto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Cs w:val="24"/>
          <w:highlight w:val="none"/>
        </w:rPr>
        <w:t>法律、行政法规规定的其他条件</w:t>
      </w:r>
      <w:r>
        <w:rPr>
          <w:rFonts w:hint="eastAsia" w:ascii="宋体" w:hAnsi="宋体" w:cs="宋体"/>
          <w:color w:val="auto"/>
          <w:szCs w:val="24"/>
          <w:highlight w:val="none"/>
          <w:lang w:eastAsia="zh-CN"/>
        </w:rPr>
        <w:t>。</w:t>
      </w:r>
    </w:p>
    <w:p w14:paraId="628889C6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（二）落实政府采购政策需满足的资格要求：无；</w:t>
      </w:r>
    </w:p>
    <w:p w14:paraId="21D211E8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（三）本项目的特定资格要求：</w:t>
      </w:r>
    </w:p>
    <w:p w14:paraId="24B2F27E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1、所投产品属于一类医疗器械的，应提供有效期内的《第一类医疗器械生产备案凭证》及《第一类医疗器械备案信息表》（提供备案凭证及备案信息表复印件并加盖供应商公章）；</w:t>
      </w:r>
    </w:p>
    <w:p w14:paraId="45304555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2、所投产品属于二类或三类医疗器械的，供应商应提供所投产品有效期内的《中华人民共和国医疗器械注册证》（提供注册证复印件并加盖供应商公章）；</w:t>
      </w:r>
    </w:p>
    <w:p w14:paraId="7CEB83E9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3、如果供应商不是所投产品制造商，所投产品属二类医疗器械的，供应商须提供有效期内《医疗器械经营企业许可证》或《第二类医疗器械经营备案凭证》；所投产品属三类医疗器械的，供应商须提供有效期内《医疗器械经营企业许可证》或《医疗器械经营许可证》（提供许可证复印件或备案凭证复印件并加盖供应商公章）。如果供应商是所投产品制造商的，供应商须提供有效期内《医疗器械生产企业许可证》，（提供许可证复印件并加盖供应商公章）。</w:t>
      </w:r>
    </w:p>
    <w:p w14:paraId="09E3604D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  <w:lang w:val="en-US" w:eastAsia="zh-CN"/>
        </w:rPr>
        <w:t>4、响应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产品若属于进口器械的，</w:t>
      </w:r>
      <w:r>
        <w:rPr>
          <w:rFonts w:hint="eastAsia" w:ascii="宋体" w:hAnsi="宋体" w:eastAsia="宋体" w:cs="宋体"/>
          <w:color w:val="auto"/>
          <w:szCs w:val="24"/>
          <w:highlight w:val="none"/>
          <w:lang w:val="en-US" w:eastAsia="zh-CN"/>
        </w:rPr>
        <w:t>供应商成交后在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合同签订时，必须提供厂家授权</w:t>
      </w:r>
      <w:r>
        <w:rPr>
          <w:rFonts w:hint="eastAsia" w:ascii="宋体" w:hAnsi="宋体" w:eastAsia="宋体" w:cs="宋体"/>
          <w:color w:val="auto"/>
          <w:szCs w:val="24"/>
          <w:highlight w:val="none"/>
          <w:lang w:val="en-US" w:eastAsia="zh-CN"/>
        </w:rPr>
        <w:t>书</w:t>
      </w:r>
      <w:r>
        <w:rPr>
          <w:rFonts w:hint="eastAsia" w:ascii="宋体" w:hAnsi="宋体" w:eastAsia="宋体" w:cs="宋体"/>
          <w:color w:val="auto"/>
          <w:szCs w:val="24"/>
          <w:highlight w:val="none"/>
          <w:lang w:eastAsia="zh-CN"/>
        </w:rPr>
        <w:t>。</w:t>
      </w:r>
    </w:p>
    <w:p w14:paraId="2B78490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注：请各供应商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特定资格条件时提供的材料须清晰可辨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7927671C">
      <w:pPr>
        <w:pStyle w:val="4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before="0" w:after="0" w:line="410" w:lineRule="exact"/>
        <w:textAlignment w:val="auto"/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9" w:name="_Toc4604"/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四、询价相关说明</w:t>
      </w:r>
      <w:bookmarkEnd w:id="9"/>
    </w:p>
    <w:p w14:paraId="12CEB604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（一）凡有意参加询价的供应商，请于公告发布之日起至提交首次响应文件截止时间之前，在“行采家”（https://www.gec123.com/）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和“重庆市荣昌区中医院”（http://www.rcqzyy.com/）</w:t>
      </w:r>
      <w:r>
        <w:rPr>
          <w:rFonts w:hint="eastAsia" w:ascii="宋体" w:hAnsi="宋体" w:cs="宋体"/>
          <w:color w:val="auto"/>
          <w:szCs w:val="24"/>
          <w:highlight w:val="none"/>
        </w:rPr>
        <w:t>网上下载本项目询价通知书以及图纸、澄清等报价前公布的所有项目资料，无论潜在供应商下载与否，均视为已知晓所有实质性要求内容。</w:t>
      </w:r>
    </w:p>
    <w:p w14:paraId="37F21641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（二）询价公告期限：自采购公告发布之日起三个工作日。</w:t>
      </w:r>
    </w:p>
    <w:p w14:paraId="24A83023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（三）获取询价通知书期限：</w:t>
      </w:r>
    </w:p>
    <w:p w14:paraId="0180A217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1、询价通知书提供期限：2024年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color w:val="auto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cs="宋体"/>
          <w:color w:val="auto"/>
          <w:szCs w:val="24"/>
          <w:highlight w:val="none"/>
        </w:rPr>
        <w:t>日至2024年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color w:val="auto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25</w:t>
      </w:r>
      <w:r>
        <w:rPr>
          <w:rFonts w:hint="eastAsia" w:ascii="宋体" w:hAnsi="宋体" w:cs="宋体"/>
          <w:color w:val="auto"/>
          <w:szCs w:val="24"/>
          <w:highlight w:val="none"/>
        </w:rPr>
        <w:t>日。</w:t>
      </w:r>
    </w:p>
    <w:p w14:paraId="19138591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2、报名方式：询价当天现场报名。</w:t>
      </w:r>
    </w:p>
    <w:p w14:paraId="1ACBDA0C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3、询价通知书售价：人民币500元/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分</w:t>
      </w:r>
      <w:r>
        <w:rPr>
          <w:rFonts w:hint="eastAsia" w:ascii="宋体" w:hAnsi="宋体" w:cs="宋体"/>
          <w:color w:val="auto"/>
          <w:szCs w:val="24"/>
          <w:highlight w:val="none"/>
        </w:rPr>
        <w:t>包（询价现场交纳，售后不退）。</w:t>
      </w:r>
    </w:p>
    <w:p w14:paraId="1540557A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（四）供应商须满足以下二种要件，其响应文件才被接受：</w:t>
      </w:r>
    </w:p>
    <w:p w14:paraId="1DEB538D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1、按时递交了响应文件；</w:t>
      </w:r>
    </w:p>
    <w:p w14:paraId="6D743FCC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2、按时足额缴纳了保证金和询价通知书购买费。</w:t>
      </w:r>
    </w:p>
    <w:p w14:paraId="0C02CAA1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（五）递交响应文件地点：</w:t>
      </w:r>
      <w:bookmarkStart w:id="10" w:name="_Toc373860294"/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重庆市</w:t>
      </w:r>
      <w:r>
        <w:rPr>
          <w:rFonts w:hint="eastAsia" w:ascii="宋体" w:hAnsi="宋体" w:cs="宋体"/>
          <w:color w:val="auto"/>
          <w:szCs w:val="24"/>
          <w:highlight w:val="none"/>
        </w:rPr>
        <w:t>荣昌区昌州街道向阳路178号附25号。</w:t>
      </w:r>
    </w:p>
    <w:p w14:paraId="7089CE1C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（六）响应文件递交开始时间：2024年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color w:val="auto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26</w:t>
      </w:r>
      <w:r>
        <w:rPr>
          <w:rFonts w:hint="eastAsia" w:ascii="宋体" w:hAnsi="宋体" w:cs="宋体"/>
          <w:color w:val="auto"/>
          <w:szCs w:val="24"/>
          <w:highlight w:val="none"/>
        </w:rPr>
        <w:t>日北京时间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szCs w:val="24"/>
          <w:highlight w:val="none"/>
        </w:rPr>
        <w:t>时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cs="宋体"/>
          <w:color w:val="auto"/>
          <w:szCs w:val="24"/>
          <w:highlight w:val="none"/>
        </w:rPr>
        <w:t xml:space="preserve">分。 </w:t>
      </w:r>
    </w:p>
    <w:p w14:paraId="490548AF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（七）响应文件递交截止时间：2024年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color w:val="auto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26</w:t>
      </w:r>
      <w:r>
        <w:rPr>
          <w:rFonts w:hint="eastAsia" w:ascii="宋体" w:hAnsi="宋体" w:cs="宋体"/>
          <w:color w:val="auto"/>
          <w:szCs w:val="24"/>
          <w:highlight w:val="none"/>
        </w:rPr>
        <w:t>日北京时间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szCs w:val="24"/>
          <w:highlight w:val="none"/>
        </w:rPr>
        <w:t>时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cs="宋体"/>
          <w:color w:val="auto"/>
          <w:szCs w:val="24"/>
          <w:highlight w:val="none"/>
        </w:rPr>
        <w:t>分。</w:t>
      </w:r>
    </w:p>
    <w:p w14:paraId="7550721E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（八）询价开始时间：2024年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color w:val="auto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26</w:t>
      </w:r>
      <w:r>
        <w:rPr>
          <w:rFonts w:hint="eastAsia" w:ascii="宋体" w:hAnsi="宋体" w:cs="宋体"/>
          <w:color w:val="auto"/>
          <w:szCs w:val="24"/>
          <w:highlight w:val="none"/>
        </w:rPr>
        <w:t>日北京时间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szCs w:val="24"/>
          <w:highlight w:val="none"/>
        </w:rPr>
        <w:t>时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cs="宋体"/>
          <w:color w:val="auto"/>
          <w:szCs w:val="24"/>
          <w:highlight w:val="none"/>
        </w:rPr>
        <w:t>分。</w:t>
      </w:r>
      <w:bookmarkEnd w:id="6"/>
      <w:bookmarkEnd w:id="10"/>
    </w:p>
    <w:p w14:paraId="44C08619">
      <w:pPr>
        <w:pStyle w:val="4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before="0" w:after="0" w:line="410" w:lineRule="exac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bookmarkStart w:id="11" w:name="_Toc11571"/>
      <w:bookmarkStart w:id="12" w:name="_Toc485108772"/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五、保证金</w:t>
      </w:r>
      <w:bookmarkEnd w:id="11"/>
    </w:p>
    <w:p w14:paraId="3CF93062">
      <w:pPr>
        <w:pStyle w:val="5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（一）保证金递交</w:t>
      </w:r>
    </w:p>
    <w:p w14:paraId="4498F610">
      <w:pPr>
        <w:pStyle w:val="5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供应商应足额交纳保证金（保证金金额详见本篇，一、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内容），由供应商从其基本账户汇至以下指定账户，保证金的到账截止时间同提交响应文件截止时间。</w:t>
      </w:r>
    </w:p>
    <w:p w14:paraId="53CF0BF7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保证金账户：</w:t>
      </w:r>
    </w:p>
    <w:p w14:paraId="71BB1F06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户  名：重庆优佳工程招标代理有限公司</w:t>
      </w:r>
    </w:p>
    <w:p w14:paraId="5311BA79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开户行：中国建设银行荣昌昌州支行</w:t>
      </w:r>
    </w:p>
    <w:p w14:paraId="282216F5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账  号：50050117630000000393</w:t>
      </w:r>
    </w:p>
    <w:p w14:paraId="6CA8AAF8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2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4"/>
          <w:highlight w:val="none"/>
          <w:u w:val="single"/>
        </w:rPr>
        <w:t>转款备注：</w:t>
      </w:r>
      <w:r>
        <w:rPr>
          <w:rFonts w:hint="eastAsia" w:ascii="宋体" w:hAnsi="宋体" w:cs="宋体"/>
          <w:b/>
          <w:bCs/>
          <w:color w:val="auto"/>
          <w:szCs w:val="24"/>
          <w:highlight w:val="none"/>
          <w:u w:val="single"/>
          <w:lang w:eastAsia="zh-CN"/>
        </w:rPr>
        <w:t>荣昌区中医院定制式活动义齿等口腔耗材一批采购项</w:t>
      </w:r>
      <w:r>
        <w:rPr>
          <w:rFonts w:hint="eastAsia" w:ascii="宋体" w:hAnsi="宋体" w:eastAsia="宋体" w:cs="宋体"/>
          <w:b/>
          <w:bCs/>
          <w:color w:val="auto"/>
          <w:szCs w:val="24"/>
          <w:highlight w:val="none"/>
          <w:u w:val="single"/>
          <w:lang w:eastAsia="zh-CN"/>
        </w:rPr>
        <w:t>目（第二次）保</w:t>
      </w:r>
      <w:r>
        <w:rPr>
          <w:rFonts w:hint="eastAsia" w:ascii="宋体" w:hAnsi="宋体" w:cs="宋体"/>
          <w:b/>
          <w:bCs/>
          <w:color w:val="auto"/>
          <w:szCs w:val="24"/>
          <w:highlight w:val="none"/>
          <w:u w:val="single"/>
        </w:rPr>
        <w:t>证金（可简写）。</w:t>
      </w:r>
    </w:p>
    <w:p w14:paraId="0345D4A5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2、各供应商在银行转账（电汇）时，须充分考虑银行转账（电汇）的时间差风险，如同城转账、异地转账或汇款、跨行转账或电汇的时间要求。</w:t>
      </w:r>
    </w:p>
    <w:p w14:paraId="43646D0C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（二）询价保证金退还方式</w:t>
      </w:r>
    </w:p>
    <w:p w14:paraId="395757E7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1、未成交供应商的保证金，在成交通知书发出后，采购代理机构在5个工作日内按来款渠道直接退还。</w:t>
      </w:r>
    </w:p>
    <w:p w14:paraId="6BDFEFE5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bookmarkStart w:id="16" w:name="_GoBack"/>
      <w:bookmarkEnd w:id="16"/>
      <w:r>
        <w:rPr>
          <w:rFonts w:hint="eastAsia" w:ascii="宋体" w:hAnsi="宋体" w:cs="宋体"/>
          <w:color w:val="auto"/>
          <w:szCs w:val="24"/>
          <w:highlight w:val="none"/>
        </w:rPr>
        <w:t>2、成交供应商的保证金，在成交供应商与采购人签订合同后，采购代理机构在5个工作日内按资金来款渠道直接退还。</w:t>
      </w:r>
    </w:p>
    <w:p w14:paraId="19117688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b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重庆优佳工程招标代理有限公司咨询电话：023-46338677</w:t>
      </w:r>
    </w:p>
    <w:p w14:paraId="34D8D1A0">
      <w:pPr>
        <w:pStyle w:val="4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before="0" w:after="0" w:line="410" w:lineRule="exac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bookmarkStart w:id="13" w:name="_Toc30873"/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、其它有关规定</w:t>
      </w:r>
      <w:bookmarkEnd w:id="12"/>
      <w:bookmarkEnd w:id="13"/>
    </w:p>
    <w:p w14:paraId="5D9D859F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（一）单位负责人为同一人或者存在直接控股、管理关系的不同供应商，不得参加同一合同项（包）下的采购活动，否则均为无效报价。</w:t>
      </w:r>
    </w:p>
    <w:p w14:paraId="575BD436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（二）为采购项目提供整体设计、规范编制或者项目管理、监理、检测等服务的供应商，不得再参加该采购项目的其他采购活动。</w:t>
      </w:r>
    </w:p>
    <w:p w14:paraId="1A6BB769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（三）同一合同项（包）下的货物，制造商参与报价的，不得再委托代理商参与报价。</w:t>
      </w:r>
    </w:p>
    <w:p w14:paraId="52A85557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（四）本项目的澄清文件（如果有）一律在“行采家”（https://www.gec123.com/）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和“重庆市荣昌区中医院”（http://www.rcqzyy.com/）</w:t>
      </w:r>
      <w:r>
        <w:rPr>
          <w:rFonts w:hint="eastAsia" w:ascii="宋体" w:hAnsi="宋体" w:cs="宋体"/>
          <w:color w:val="auto"/>
          <w:szCs w:val="24"/>
          <w:highlight w:val="none"/>
        </w:rPr>
        <w:t>网上发布，请各供应商注意下载或到采购代理机构处领取；无论供应商下载或领取与否，均视同供应商已知晓本项目澄清文件（如果有）的内容。</w:t>
      </w:r>
    </w:p>
    <w:p w14:paraId="60C6E4C8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（五）超过响应文件截止时间递交的响应文件，恕不接收。</w:t>
      </w:r>
    </w:p>
    <w:p w14:paraId="1FA276D4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（六）询价费用：无论询价结果如何，供应商参与本项目询价的所有费用均应由供应商自行承担。</w:t>
      </w:r>
    </w:p>
    <w:p w14:paraId="210D5169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（七）本项目不接受联合体响应，否则按无效处理。</w:t>
      </w:r>
    </w:p>
    <w:p w14:paraId="419650E2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（八）本项目不接受合同分包，否则按无效处理。</w:t>
      </w:r>
    </w:p>
    <w:p w14:paraId="52AA678D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（九）按照《财政部关于在政府采购活动中查询及使用信用记录有关问题的通知》财库〔2016〕125号，供应商列入失信被执行人、重大税收违法案件当事人名单、政府采购严重违法失信行为记录名单及其他不符合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参照</w:t>
      </w:r>
      <w:r>
        <w:rPr>
          <w:rFonts w:hint="eastAsia" w:ascii="宋体" w:hAnsi="宋体" w:cs="宋体"/>
          <w:color w:val="auto"/>
          <w:szCs w:val="24"/>
          <w:highlight w:val="none"/>
        </w:rPr>
        <w:t>《中华人民共和国政府采购法》第二十二条规定条件的供应商，将拒绝其参与采购活动。</w:t>
      </w:r>
    </w:p>
    <w:p w14:paraId="188B1803">
      <w:pPr>
        <w:pStyle w:val="4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before="0" w:after="0" w:line="410" w:lineRule="exac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bookmarkStart w:id="14" w:name="_Toc485108773"/>
      <w:bookmarkStart w:id="15" w:name="_Toc32500"/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、联系方式</w:t>
      </w:r>
      <w:bookmarkEnd w:id="14"/>
      <w:bookmarkEnd w:id="15"/>
    </w:p>
    <w:p w14:paraId="5974F6BB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1200" w:firstLineChars="5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（一）采购人：重庆市荣昌区中医院</w:t>
      </w:r>
    </w:p>
    <w:p w14:paraId="63B1EA1F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1200" w:firstLineChars="5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联系人：唐女士</w:t>
      </w:r>
    </w:p>
    <w:p w14:paraId="44C97BE3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1200" w:firstLineChars="5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电  话：023-46251760</w:t>
      </w:r>
    </w:p>
    <w:p w14:paraId="5962BF87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1200" w:firstLineChars="5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项目联系人：马老师</w:t>
      </w:r>
    </w:p>
    <w:p w14:paraId="3825701D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1200" w:firstLineChars="5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电  话：18323323302</w:t>
      </w:r>
    </w:p>
    <w:p w14:paraId="36D2F971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1200" w:firstLineChars="5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地  址：重庆市荣昌区昌州街道黄金大道167号</w:t>
      </w:r>
    </w:p>
    <w:p w14:paraId="20688727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1200" w:firstLineChars="5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（二）采购代理机构：重庆优佳工程招标代理有限公司</w:t>
      </w:r>
    </w:p>
    <w:p w14:paraId="745EAE60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1200" w:firstLineChars="5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联系人：秦女士</w:t>
      </w:r>
    </w:p>
    <w:p w14:paraId="722A861A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1200" w:firstLineChars="5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 xml:space="preserve">电  话：023-46338677  15320527498 </w:t>
      </w:r>
    </w:p>
    <w:p w14:paraId="55A407FC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1200" w:firstLineChars="5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保证金退还咨询联系人：白女士 023-46338677</w:t>
      </w:r>
    </w:p>
    <w:p w14:paraId="3B3121F7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10" w:lineRule="exact"/>
        <w:ind w:firstLine="1200" w:firstLineChars="5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地  址：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重庆市</w:t>
      </w:r>
      <w:r>
        <w:rPr>
          <w:rFonts w:hint="eastAsia" w:ascii="宋体" w:hAnsi="宋体" w:cs="宋体"/>
          <w:color w:val="auto"/>
          <w:szCs w:val="24"/>
          <w:highlight w:val="none"/>
        </w:rPr>
        <w:t>荣昌区昌州街道向阳路178号附25号</w:t>
      </w:r>
    </w:p>
    <w:sectPr>
      <w:footerReference r:id="rId3" w:type="default"/>
      <w:pgSz w:w="11906" w:h="16838"/>
      <w:pgMar w:top="1213" w:right="1463" w:bottom="121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67F9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F9E25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F9E25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E4C42"/>
    <w:rsid w:val="103E4C42"/>
    <w:rsid w:val="16985F3D"/>
    <w:rsid w:val="4F0E0ACA"/>
    <w:rsid w:val="7AE9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600" w:lineRule="exact"/>
      <w:jc w:val="center"/>
      <w:outlineLvl w:val="1"/>
    </w:pPr>
    <w:rPr>
      <w:rFonts w:ascii="Arial" w:hAnsi="Arial"/>
      <w:b/>
      <w:sz w:val="44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uppressLineNumbers w:val="0"/>
      <w:spacing w:before="260" w:beforeLines="0" w:beforeAutospacing="0" w:after="260" w:afterLines="0" w:afterAutospacing="0" w:line="412" w:lineRule="auto"/>
      <w:jc w:val="both"/>
      <w:outlineLvl w:val="2"/>
    </w:pPr>
    <w:rPr>
      <w:rFonts w:ascii="Times New Roman" w:hAnsi="Times New Roman"/>
      <w:b/>
      <w:sz w:val="32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basedOn w:val="1"/>
    <w:uiPriority w:val="0"/>
    <w:pPr>
      <w:snapToGrid w:val="0"/>
      <w:spacing w:line="560" w:lineRule="atLeast"/>
      <w:ind w:firstLine="540"/>
    </w:pPr>
    <w:rPr>
      <w:rFonts w:ascii="Times New Roman" w:hAnsi="Times New Roman"/>
      <w:sz w:val="2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2024-12-20T10:08:00Z</dcterms:created>
  <dc:creator>娅宁</dc:creator>
  <cp:lastModifiedBy>娅宁</cp:lastModifiedBy>
  <dcterms:modified xsi:type="dcterms:W3CDTF">2024-12-20T10:13:04Z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69A670A748414F4DBA092A82B9D14415_11</vt:lpwstr>
  </property>
</Properties>
</file>